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7B37" w:rsidRDefault="00D343DC">
      <w:pPr>
        <w:rPr>
          <w:b/>
          <w:sz w:val="21"/>
          <w:szCs w:val="21"/>
        </w:rPr>
      </w:pPr>
      <w:r>
        <w:rPr>
          <w:b/>
          <w:sz w:val="21"/>
          <w:szCs w:val="21"/>
        </w:rPr>
        <w:t xml:space="preserve">AP United States Government and Politics </w:t>
      </w:r>
    </w:p>
    <w:p w:rsidR="00997B37" w:rsidRDefault="00D343DC">
      <w:pPr>
        <w:rPr>
          <w:sz w:val="21"/>
          <w:szCs w:val="21"/>
        </w:rPr>
      </w:pPr>
      <w:r>
        <w:rPr>
          <w:sz w:val="21"/>
          <w:szCs w:val="21"/>
        </w:rPr>
        <w:t xml:space="preserve">Supreme Court Required Cases </w:t>
      </w:r>
    </w:p>
    <w:p w:rsidR="00997B37" w:rsidRDefault="00997B37">
      <w:pPr>
        <w:rPr>
          <w:sz w:val="21"/>
          <w:szCs w:val="21"/>
        </w:rPr>
      </w:pPr>
    </w:p>
    <w:p w:rsidR="00997B37" w:rsidRDefault="00D343DC">
      <w:pPr>
        <w:rPr>
          <w:b/>
          <w:sz w:val="21"/>
          <w:szCs w:val="21"/>
        </w:rPr>
      </w:pPr>
      <w:r>
        <w:rPr>
          <w:b/>
          <w:sz w:val="21"/>
          <w:szCs w:val="21"/>
        </w:rPr>
        <w:t xml:space="preserve">Case about Checks and Balances and Separation of Powers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85"/>
      </w:tblGrid>
      <w:tr w:rsidR="00997B37">
        <w:tc>
          <w:tcPr>
            <w:tcW w:w="3075" w:type="dxa"/>
            <w:shd w:val="clear" w:color="auto" w:fill="D9D9D9"/>
            <w:tcMar>
              <w:top w:w="100" w:type="dxa"/>
              <w:left w:w="100" w:type="dxa"/>
              <w:bottom w:w="100" w:type="dxa"/>
              <w:right w:w="100" w:type="dxa"/>
            </w:tcMar>
          </w:tcPr>
          <w:p w:rsidR="00997B37" w:rsidRDefault="00D343DC">
            <w:pPr>
              <w:widowControl w:val="0"/>
              <w:spacing w:line="240" w:lineRule="auto"/>
              <w:jc w:val="center"/>
              <w:rPr>
                <w:sz w:val="21"/>
                <w:szCs w:val="21"/>
              </w:rPr>
            </w:pPr>
            <w:r>
              <w:rPr>
                <w:sz w:val="21"/>
                <w:szCs w:val="21"/>
              </w:rPr>
              <w:t>Case</w:t>
            </w:r>
          </w:p>
        </w:tc>
        <w:tc>
          <w:tcPr>
            <w:tcW w:w="6285" w:type="dxa"/>
            <w:shd w:val="clear" w:color="auto" w:fill="D9D9D9"/>
            <w:tcMar>
              <w:top w:w="100" w:type="dxa"/>
              <w:left w:w="100" w:type="dxa"/>
              <w:bottom w:w="100" w:type="dxa"/>
              <w:right w:w="100" w:type="dxa"/>
            </w:tcMar>
          </w:tcPr>
          <w:p w:rsidR="00997B37" w:rsidRDefault="00D343DC">
            <w:pPr>
              <w:widowControl w:val="0"/>
              <w:spacing w:line="240" w:lineRule="auto"/>
              <w:jc w:val="center"/>
              <w:rPr>
                <w:sz w:val="21"/>
                <w:szCs w:val="21"/>
              </w:rPr>
            </w:pPr>
            <w:r>
              <w:rPr>
                <w:sz w:val="21"/>
                <w:szCs w:val="21"/>
              </w:rPr>
              <w:t>Precedent and Constitutional Reasoning</w:t>
            </w:r>
          </w:p>
        </w:tc>
      </w:tr>
      <w:tr w:rsidR="00997B37">
        <w:tc>
          <w:tcPr>
            <w:tcW w:w="3075" w:type="dxa"/>
            <w:shd w:val="clear" w:color="auto" w:fill="D9D2E9"/>
            <w:tcMar>
              <w:top w:w="100" w:type="dxa"/>
              <w:left w:w="100" w:type="dxa"/>
              <w:bottom w:w="100" w:type="dxa"/>
              <w:right w:w="100" w:type="dxa"/>
            </w:tcMar>
          </w:tcPr>
          <w:p w:rsidR="00997B37" w:rsidRDefault="00D343DC">
            <w:pPr>
              <w:widowControl w:val="0"/>
              <w:spacing w:line="240" w:lineRule="auto"/>
              <w:rPr>
                <w:sz w:val="21"/>
                <w:szCs w:val="21"/>
              </w:rPr>
            </w:pPr>
            <w:r>
              <w:rPr>
                <w:sz w:val="21"/>
                <w:szCs w:val="21"/>
              </w:rPr>
              <w:t>Marbury v. Madison (1803)</w:t>
            </w:r>
          </w:p>
        </w:tc>
        <w:tc>
          <w:tcPr>
            <w:tcW w:w="6285" w:type="dxa"/>
            <w:shd w:val="clear" w:color="auto" w:fill="D9D2E9"/>
            <w:tcMar>
              <w:top w:w="100" w:type="dxa"/>
              <w:left w:w="100" w:type="dxa"/>
              <w:bottom w:w="100" w:type="dxa"/>
              <w:right w:w="100" w:type="dxa"/>
            </w:tcMar>
          </w:tcPr>
          <w:p w:rsidR="00997B37" w:rsidRDefault="00D343DC">
            <w:pPr>
              <w:widowControl w:val="0"/>
              <w:spacing w:line="240" w:lineRule="auto"/>
              <w:rPr>
                <w:sz w:val="21"/>
                <w:szCs w:val="21"/>
              </w:rPr>
            </w:pPr>
            <w:r>
              <w:rPr>
                <w:sz w:val="21"/>
                <w:szCs w:val="21"/>
              </w:rPr>
              <w:t>Uses the Judicial Branch’s inherent power in Article III of the Constitution to establish judicial review as constitutional affirming checks and balances and separation of powers</w:t>
            </w:r>
          </w:p>
        </w:tc>
      </w:tr>
    </w:tbl>
    <w:p w:rsidR="00997B37" w:rsidRDefault="00997B37">
      <w:pPr>
        <w:rPr>
          <w:sz w:val="21"/>
          <w:szCs w:val="21"/>
        </w:rPr>
      </w:pPr>
    </w:p>
    <w:p w:rsidR="00997B37" w:rsidRDefault="00D343DC">
      <w:pPr>
        <w:rPr>
          <w:b/>
          <w:sz w:val="21"/>
          <w:szCs w:val="21"/>
        </w:rPr>
      </w:pPr>
      <w:r>
        <w:rPr>
          <w:b/>
          <w:sz w:val="21"/>
          <w:szCs w:val="21"/>
        </w:rPr>
        <w:t>Cases about Federalism</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6345"/>
      </w:tblGrid>
      <w:tr w:rsidR="00997B37">
        <w:tc>
          <w:tcPr>
            <w:tcW w:w="3015" w:type="dxa"/>
            <w:shd w:val="clear" w:color="auto" w:fill="D9D9D9"/>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jc w:val="center"/>
              <w:rPr>
                <w:sz w:val="21"/>
                <w:szCs w:val="21"/>
              </w:rPr>
            </w:pPr>
            <w:r>
              <w:rPr>
                <w:sz w:val="21"/>
                <w:szCs w:val="21"/>
              </w:rPr>
              <w:t>Case</w:t>
            </w:r>
          </w:p>
        </w:tc>
        <w:tc>
          <w:tcPr>
            <w:tcW w:w="6345" w:type="dxa"/>
            <w:shd w:val="clear" w:color="auto" w:fill="D9D9D9"/>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jc w:val="center"/>
              <w:rPr>
                <w:sz w:val="21"/>
                <w:szCs w:val="21"/>
              </w:rPr>
            </w:pPr>
            <w:r>
              <w:rPr>
                <w:sz w:val="21"/>
                <w:szCs w:val="21"/>
              </w:rPr>
              <w:t>Precedent and Constitutional Reasoning</w:t>
            </w:r>
          </w:p>
        </w:tc>
      </w:tr>
      <w:tr w:rsidR="00997B37">
        <w:tc>
          <w:tcPr>
            <w:tcW w:w="3015" w:type="dxa"/>
            <w:shd w:val="clear" w:color="auto" w:fill="CFE2F3"/>
            <w:tcMar>
              <w:top w:w="100" w:type="dxa"/>
              <w:left w:w="100" w:type="dxa"/>
              <w:bottom w:w="100" w:type="dxa"/>
              <w:right w:w="100" w:type="dxa"/>
            </w:tcMar>
          </w:tcPr>
          <w:p w:rsidR="00997B37" w:rsidRDefault="00D343DC">
            <w:pPr>
              <w:widowControl w:val="0"/>
              <w:spacing w:line="240" w:lineRule="auto"/>
              <w:rPr>
                <w:sz w:val="21"/>
                <w:szCs w:val="21"/>
              </w:rPr>
            </w:pPr>
            <w:r>
              <w:rPr>
                <w:sz w:val="21"/>
                <w:szCs w:val="21"/>
              </w:rPr>
              <w:t>McCulloch v. Maryland (1819)</w:t>
            </w:r>
          </w:p>
        </w:tc>
        <w:tc>
          <w:tcPr>
            <w:tcW w:w="6345" w:type="dxa"/>
            <w:shd w:val="clear" w:color="auto" w:fill="CFE2F3"/>
            <w:tcMar>
              <w:top w:w="100" w:type="dxa"/>
              <w:left w:w="100" w:type="dxa"/>
              <w:bottom w:w="100" w:type="dxa"/>
              <w:right w:w="100" w:type="dxa"/>
            </w:tcMar>
          </w:tcPr>
          <w:p w:rsidR="00997B37" w:rsidRDefault="00D343DC">
            <w:pPr>
              <w:widowControl w:val="0"/>
              <w:spacing w:line="240" w:lineRule="auto"/>
              <w:rPr>
                <w:sz w:val="21"/>
                <w:szCs w:val="21"/>
              </w:rPr>
            </w:pPr>
            <w:r>
              <w:rPr>
                <w:sz w:val="21"/>
                <w:szCs w:val="21"/>
              </w:rPr>
              <w:t xml:space="preserve">Used the supremacy clause from Article IV of the Constitution to affirm the supremacy of the federal government and the US Constitution over the states and state laws </w:t>
            </w:r>
          </w:p>
        </w:tc>
      </w:tr>
      <w:tr w:rsidR="00997B37">
        <w:tc>
          <w:tcPr>
            <w:tcW w:w="3015" w:type="dxa"/>
            <w:shd w:val="clear" w:color="auto" w:fill="CFE2F3"/>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United States v. Lopez (1995)</w:t>
            </w:r>
          </w:p>
        </w:tc>
        <w:tc>
          <w:tcPr>
            <w:tcW w:w="6345" w:type="dxa"/>
            <w:shd w:val="clear" w:color="auto" w:fill="CFE2F3"/>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Congress may not use the commerce clause, Article I Section 8, to make possession of a gun in a school zone a federal crime</w:t>
            </w:r>
          </w:p>
        </w:tc>
      </w:tr>
    </w:tbl>
    <w:p w:rsidR="00997B37" w:rsidRDefault="00997B37">
      <w:pPr>
        <w:rPr>
          <w:sz w:val="21"/>
          <w:szCs w:val="21"/>
        </w:rPr>
      </w:pPr>
    </w:p>
    <w:p w:rsidR="00997B37" w:rsidRDefault="00D343DC">
      <w:pPr>
        <w:rPr>
          <w:b/>
          <w:sz w:val="21"/>
          <w:szCs w:val="21"/>
        </w:rPr>
      </w:pPr>
      <w:r>
        <w:rPr>
          <w:b/>
          <w:sz w:val="21"/>
          <w:szCs w:val="21"/>
        </w:rPr>
        <w:t>Cases about the Bill of Rights, balance between power of government and individual liberties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97B37">
        <w:tc>
          <w:tcPr>
            <w:tcW w:w="3045" w:type="dxa"/>
            <w:shd w:val="clear" w:color="auto" w:fill="D9D9D9"/>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jc w:val="center"/>
              <w:rPr>
                <w:sz w:val="21"/>
                <w:szCs w:val="21"/>
              </w:rPr>
            </w:pPr>
            <w:r>
              <w:rPr>
                <w:sz w:val="21"/>
                <w:szCs w:val="21"/>
              </w:rPr>
              <w:t>Case</w:t>
            </w:r>
          </w:p>
        </w:tc>
        <w:tc>
          <w:tcPr>
            <w:tcW w:w="6315" w:type="dxa"/>
            <w:shd w:val="clear" w:color="auto" w:fill="D9D9D9"/>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jc w:val="center"/>
              <w:rPr>
                <w:sz w:val="21"/>
                <w:szCs w:val="21"/>
              </w:rPr>
            </w:pPr>
            <w:r>
              <w:rPr>
                <w:sz w:val="21"/>
                <w:szCs w:val="21"/>
              </w:rPr>
              <w:t>Precedent and Constitutional Reasoning</w:t>
            </w:r>
          </w:p>
        </w:tc>
      </w:tr>
      <w:tr w:rsidR="00997B37">
        <w:tc>
          <w:tcPr>
            <w:tcW w:w="3045" w:type="dxa"/>
            <w:shd w:val="clear" w:color="auto" w:fill="D9EAD3"/>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Engel v. Vitale (1962)</w:t>
            </w:r>
          </w:p>
        </w:tc>
        <w:tc>
          <w:tcPr>
            <w:tcW w:w="6315" w:type="dxa"/>
            <w:shd w:val="clear" w:color="auto" w:fill="D9EAD3"/>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b/>
                <w:sz w:val="21"/>
                <w:szCs w:val="21"/>
              </w:rPr>
            </w:pPr>
            <w:r>
              <w:rPr>
                <w:sz w:val="21"/>
                <w:szCs w:val="21"/>
              </w:rPr>
              <w:t xml:space="preserve">School sponsorship of religious activities violates the establishment clause in the 1st amendment </w:t>
            </w:r>
          </w:p>
        </w:tc>
      </w:tr>
      <w:tr w:rsidR="00997B37">
        <w:tc>
          <w:tcPr>
            <w:tcW w:w="3045" w:type="dxa"/>
            <w:shd w:val="clear" w:color="auto" w:fill="D9EAD3"/>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Wisconsin v. Yoder (1972)</w:t>
            </w:r>
          </w:p>
        </w:tc>
        <w:tc>
          <w:tcPr>
            <w:tcW w:w="6315" w:type="dxa"/>
            <w:shd w:val="clear" w:color="auto" w:fill="D9EAD3"/>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b/>
                <w:sz w:val="21"/>
                <w:szCs w:val="21"/>
              </w:rPr>
            </w:pPr>
            <w:r>
              <w:rPr>
                <w:sz w:val="21"/>
                <w:szCs w:val="21"/>
              </w:rPr>
              <w:t xml:space="preserve">Forcing Amish students to attend school past 8th grade violates the free exercise clause of the 1st amendment </w:t>
            </w:r>
          </w:p>
        </w:tc>
      </w:tr>
      <w:tr w:rsidR="00997B37">
        <w:tc>
          <w:tcPr>
            <w:tcW w:w="3045" w:type="dxa"/>
            <w:shd w:val="clear" w:color="auto" w:fill="D9EAD3"/>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Tinker v. Des Moines School District (1969)</w:t>
            </w:r>
          </w:p>
        </w:tc>
        <w:tc>
          <w:tcPr>
            <w:tcW w:w="6315" w:type="dxa"/>
            <w:shd w:val="clear" w:color="auto" w:fill="D9EAD3"/>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Public school students retain 1st amendment freedom of speech/expression while on campus, as long as</w:t>
            </w:r>
            <w:r>
              <w:rPr>
                <w:sz w:val="21"/>
                <w:szCs w:val="21"/>
              </w:rPr>
              <w:t xml:space="preserve"> it doesn’t “disrupt the learning environment” </w:t>
            </w:r>
          </w:p>
        </w:tc>
      </w:tr>
      <w:tr w:rsidR="00997B37">
        <w:tc>
          <w:tcPr>
            <w:tcW w:w="3045" w:type="dxa"/>
            <w:shd w:val="clear" w:color="auto" w:fill="D9EAD3"/>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New York Times v. United States (1971)</w:t>
            </w:r>
          </w:p>
        </w:tc>
        <w:tc>
          <w:tcPr>
            <w:tcW w:w="6315" w:type="dxa"/>
            <w:shd w:val="clear" w:color="auto" w:fill="D9EAD3"/>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Ensures freedom of press clause of the 1st amendment by limiting prior restraint except in most extreme cases of national security</w:t>
            </w:r>
          </w:p>
        </w:tc>
      </w:tr>
      <w:tr w:rsidR="00997B37">
        <w:tc>
          <w:tcPr>
            <w:tcW w:w="3045" w:type="dxa"/>
            <w:shd w:val="clear" w:color="auto" w:fill="D9EAD3"/>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Schenk v. US (1919)</w:t>
            </w:r>
          </w:p>
        </w:tc>
        <w:tc>
          <w:tcPr>
            <w:tcW w:w="6315" w:type="dxa"/>
            <w:shd w:val="clear" w:color="auto" w:fill="D9EAD3"/>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Speech that is a</w:t>
            </w:r>
            <w:r>
              <w:rPr>
                <w:sz w:val="21"/>
                <w:szCs w:val="21"/>
              </w:rPr>
              <w:t xml:space="preserve"> “clear and present danger” is not protected speech under the freedom of speech clause in the 1st amendment</w:t>
            </w:r>
          </w:p>
        </w:tc>
      </w:tr>
    </w:tbl>
    <w:p w:rsidR="00997B37" w:rsidRDefault="00997B37">
      <w:pPr>
        <w:rPr>
          <w:sz w:val="21"/>
          <w:szCs w:val="21"/>
        </w:rPr>
      </w:pPr>
    </w:p>
    <w:p w:rsidR="00997B37" w:rsidRDefault="00D343DC">
      <w:pPr>
        <w:rPr>
          <w:b/>
          <w:sz w:val="21"/>
          <w:szCs w:val="21"/>
        </w:rPr>
      </w:pPr>
      <w:r>
        <w:br w:type="page"/>
      </w:r>
    </w:p>
    <w:p w:rsidR="00997B37" w:rsidRDefault="00D343DC">
      <w:pPr>
        <w:rPr>
          <w:b/>
          <w:sz w:val="21"/>
          <w:szCs w:val="21"/>
        </w:rPr>
      </w:pPr>
      <w:r>
        <w:rPr>
          <w:b/>
          <w:sz w:val="21"/>
          <w:szCs w:val="21"/>
        </w:rPr>
        <w:lastRenderedPageBreak/>
        <w:t xml:space="preserve">Cases about Selective Incorporation via the 14th amendment’s </w:t>
      </w:r>
      <w:r>
        <w:rPr>
          <w:b/>
          <w:i/>
          <w:sz w:val="21"/>
          <w:szCs w:val="21"/>
        </w:rPr>
        <w:t>due process clause</w:t>
      </w:r>
      <w:r>
        <w:rPr>
          <w:b/>
          <w:sz w:val="21"/>
          <w:szCs w:val="21"/>
        </w:rPr>
        <w:t xml:space="preserve"> - limits states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85"/>
      </w:tblGrid>
      <w:tr w:rsidR="00997B37">
        <w:tc>
          <w:tcPr>
            <w:tcW w:w="3075" w:type="dxa"/>
            <w:shd w:val="clear" w:color="auto" w:fill="D9D9D9"/>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jc w:val="center"/>
              <w:rPr>
                <w:sz w:val="21"/>
                <w:szCs w:val="21"/>
              </w:rPr>
            </w:pPr>
            <w:r>
              <w:rPr>
                <w:sz w:val="21"/>
                <w:szCs w:val="21"/>
              </w:rPr>
              <w:t>Case</w:t>
            </w:r>
          </w:p>
        </w:tc>
        <w:tc>
          <w:tcPr>
            <w:tcW w:w="6285" w:type="dxa"/>
            <w:shd w:val="clear" w:color="auto" w:fill="D9D9D9"/>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jc w:val="center"/>
              <w:rPr>
                <w:sz w:val="21"/>
                <w:szCs w:val="21"/>
              </w:rPr>
            </w:pPr>
            <w:r>
              <w:rPr>
                <w:sz w:val="21"/>
                <w:szCs w:val="21"/>
              </w:rPr>
              <w:t>Precedent and Constitutional Reasoning</w:t>
            </w:r>
          </w:p>
        </w:tc>
      </w:tr>
      <w:tr w:rsidR="00997B37">
        <w:tc>
          <w:tcPr>
            <w:tcW w:w="3075" w:type="dxa"/>
            <w:shd w:val="clear" w:color="auto" w:fill="FFF2CC"/>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Gitlow v. New York (1925)</w:t>
            </w:r>
          </w:p>
        </w:tc>
        <w:tc>
          <w:tcPr>
            <w:tcW w:w="6285" w:type="dxa"/>
            <w:shd w:val="clear" w:color="auto" w:fill="FFF2CC"/>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The first case that used the selective incorporation doctrine, using the due process clause of the 14th amendment to extend the Bill of Rights protections to states</w:t>
            </w:r>
          </w:p>
        </w:tc>
      </w:tr>
      <w:tr w:rsidR="00997B37">
        <w:tc>
          <w:tcPr>
            <w:tcW w:w="3075" w:type="dxa"/>
            <w:shd w:val="clear" w:color="auto" w:fill="FFF2CC"/>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Gideon v. Wainwright (1963)</w:t>
            </w:r>
          </w:p>
        </w:tc>
        <w:tc>
          <w:tcPr>
            <w:tcW w:w="6285" w:type="dxa"/>
            <w:shd w:val="clear" w:color="auto" w:fill="FFF2CC"/>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Used the 6th amendment to decide that those who cannot afford an attorney will be provided with one, incorporated to the states via the due process clause of the 14th amendment.</w:t>
            </w:r>
          </w:p>
        </w:tc>
      </w:tr>
      <w:tr w:rsidR="00997B37">
        <w:tc>
          <w:tcPr>
            <w:tcW w:w="3075" w:type="dxa"/>
            <w:shd w:val="clear" w:color="auto" w:fill="FFF2CC"/>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Roe v. Wade (1973)</w:t>
            </w:r>
          </w:p>
        </w:tc>
        <w:tc>
          <w:tcPr>
            <w:tcW w:w="6285" w:type="dxa"/>
            <w:shd w:val="clear" w:color="auto" w:fill="FFF2CC"/>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 xml:space="preserve">Used the 4th amendments right to privacy to rule that the </w:t>
            </w:r>
            <w:r>
              <w:rPr>
                <w:sz w:val="21"/>
                <w:szCs w:val="21"/>
              </w:rPr>
              <w:t>state could not prevent women from having abortions, incorporated to the states via the due process clause of the 14th amendment.</w:t>
            </w:r>
          </w:p>
        </w:tc>
      </w:tr>
      <w:tr w:rsidR="00997B37">
        <w:tc>
          <w:tcPr>
            <w:tcW w:w="3075" w:type="dxa"/>
            <w:shd w:val="clear" w:color="auto" w:fill="FFF2CC"/>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MacDonald v. Chicago (2010)</w:t>
            </w:r>
          </w:p>
        </w:tc>
        <w:tc>
          <w:tcPr>
            <w:tcW w:w="6285" w:type="dxa"/>
            <w:shd w:val="clear" w:color="auto" w:fill="FFF2CC"/>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The 2nd amendment prevents states from limiting gun ownership for self-protection, incorporated t</w:t>
            </w:r>
            <w:r>
              <w:rPr>
                <w:sz w:val="21"/>
                <w:szCs w:val="21"/>
              </w:rPr>
              <w:t>o the states via the due process clause of the 14th amendment.</w:t>
            </w:r>
          </w:p>
        </w:tc>
      </w:tr>
    </w:tbl>
    <w:p w:rsidR="00997B37" w:rsidRDefault="00997B37">
      <w:pPr>
        <w:rPr>
          <w:sz w:val="21"/>
          <w:szCs w:val="21"/>
        </w:rPr>
      </w:pPr>
    </w:p>
    <w:p w:rsidR="00997B37" w:rsidRDefault="00D343DC">
      <w:pPr>
        <w:rPr>
          <w:b/>
          <w:sz w:val="21"/>
          <w:szCs w:val="21"/>
        </w:rPr>
      </w:pPr>
      <w:r>
        <w:rPr>
          <w:b/>
          <w:sz w:val="21"/>
          <w:szCs w:val="21"/>
        </w:rPr>
        <w:t xml:space="preserve">Cases about the 14th amendment’s </w:t>
      </w:r>
      <w:r>
        <w:rPr>
          <w:b/>
          <w:i/>
          <w:sz w:val="21"/>
          <w:szCs w:val="21"/>
        </w:rPr>
        <w:t>equal protection clause</w:t>
      </w:r>
      <w:r>
        <w:rPr>
          <w:b/>
          <w:sz w:val="21"/>
          <w:szCs w:val="21"/>
        </w:rPr>
        <w:t xml:space="preserve"> supports equality of individuals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85"/>
      </w:tblGrid>
      <w:tr w:rsidR="00997B37">
        <w:tc>
          <w:tcPr>
            <w:tcW w:w="3075" w:type="dxa"/>
            <w:shd w:val="clear" w:color="auto" w:fill="D9D9D9"/>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jc w:val="center"/>
              <w:rPr>
                <w:sz w:val="21"/>
                <w:szCs w:val="21"/>
              </w:rPr>
            </w:pPr>
            <w:r>
              <w:rPr>
                <w:sz w:val="21"/>
                <w:szCs w:val="21"/>
              </w:rPr>
              <w:t>Case</w:t>
            </w:r>
          </w:p>
        </w:tc>
        <w:tc>
          <w:tcPr>
            <w:tcW w:w="6285" w:type="dxa"/>
            <w:shd w:val="clear" w:color="auto" w:fill="D9D9D9"/>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jc w:val="center"/>
              <w:rPr>
                <w:sz w:val="21"/>
                <w:szCs w:val="21"/>
              </w:rPr>
            </w:pPr>
            <w:r>
              <w:rPr>
                <w:sz w:val="21"/>
                <w:szCs w:val="21"/>
              </w:rPr>
              <w:t>Precedent and Constitutional Reasoning</w:t>
            </w:r>
          </w:p>
        </w:tc>
      </w:tr>
      <w:tr w:rsidR="00997B37">
        <w:tc>
          <w:tcPr>
            <w:tcW w:w="3075" w:type="dxa"/>
            <w:shd w:val="clear" w:color="auto" w:fill="F4CCCC"/>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Brown v. Board of Education (1954)</w:t>
            </w:r>
          </w:p>
        </w:tc>
        <w:tc>
          <w:tcPr>
            <w:tcW w:w="6285" w:type="dxa"/>
            <w:shd w:val="clear" w:color="auto" w:fill="F4CCCC"/>
            <w:tcMar>
              <w:top w:w="100" w:type="dxa"/>
              <w:left w:w="100" w:type="dxa"/>
              <w:bottom w:w="100" w:type="dxa"/>
              <w:right w:w="100" w:type="dxa"/>
            </w:tcMar>
          </w:tcPr>
          <w:p w:rsidR="00997B37" w:rsidRDefault="00D343DC">
            <w:pPr>
              <w:widowControl w:val="0"/>
              <w:pBdr>
                <w:top w:val="nil"/>
                <w:left w:val="nil"/>
                <w:bottom w:val="nil"/>
                <w:right w:val="nil"/>
                <w:between w:val="nil"/>
              </w:pBdr>
              <w:spacing w:line="240" w:lineRule="auto"/>
              <w:rPr>
                <w:sz w:val="21"/>
                <w:szCs w:val="21"/>
              </w:rPr>
            </w:pPr>
            <w:r>
              <w:rPr>
                <w:sz w:val="21"/>
                <w:szCs w:val="21"/>
              </w:rPr>
              <w:t>School segregation violates the equal protection clause of the 14th amendment - overturned Plessy v. Ferguson’s separate but equal doctrine</w:t>
            </w:r>
          </w:p>
        </w:tc>
      </w:tr>
    </w:tbl>
    <w:p w:rsidR="00997B37" w:rsidRDefault="00997B37">
      <w:pPr>
        <w:rPr>
          <w:sz w:val="21"/>
          <w:szCs w:val="21"/>
        </w:rPr>
      </w:pPr>
    </w:p>
    <w:p w:rsidR="00997B37" w:rsidRDefault="00D343DC">
      <w:pPr>
        <w:rPr>
          <w:b/>
          <w:sz w:val="21"/>
          <w:szCs w:val="21"/>
        </w:rPr>
      </w:pPr>
      <w:r>
        <w:rPr>
          <w:b/>
          <w:sz w:val="21"/>
          <w:szCs w:val="21"/>
        </w:rPr>
        <w:t>Cases about campaigning, election rules, and redistricting</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270"/>
      </w:tblGrid>
      <w:tr w:rsidR="00997B37">
        <w:tc>
          <w:tcPr>
            <w:tcW w:w="3090" w:type="dxa"/>
            <w:shd w:val="clear" w:color="auto" w:fill="D9D9D9"/>
            <w:tcMar>
              <w:top w:w="100" w:type="dxa"/>
              <w:left w:w="100" w:type="dxa"/>
              <w:bottom w:w="100" w:type="dxa"/>
              <w:right w:w="100" w:type="dxa"/>
            </w:tcMar>
          </w:tcPr>
          <w:p w:rsidR="00997B37" w:rsidRDefault="00D343DC">
            <w:pPr>
              <w:widowControl w:val="0"/>
              <w:spacing w:line="240" w:lineRule="auto"/>
              <w:jc w:val="center"/>
              <w:rPr>
                <w:sz w:val="21"/>
                <w:szCs w:val="21"/>
              </w:rPr>
            </w:pPr>
            <w:r>
              <w:rPr>
                <w:sz w:val="21"/>
                <w:szCs w:val="21"/>
              </w:rPr>
              <w:t>Case</w:t>
            </w:r>
          </w:p>
        </w:tc>
        <w:tc>
          <w:tcPr>
            <w:tcW w:w="6270" w:type="dxa"/>
            <w:shd w:val="clear" w:color="auto" w:fill="D9D9D9"/>
            <w:tcMar>
              <w:top w:w="100" w:type="dxa"/>
              <w:left w:w="100" w:type="dxa"/>
              <w:bottom w:w="100" w:type="dxa"/>
              <w:right w:w="100" w:type="dxa"/>
            </w:tcMar>
          </w:tcPr>
          <w:p w:rsidR="00997B37" w:rsidRDefault="00D343DC">
            <w:pPr>
              <w:widowControl w:val="0"/>
              <w:spacing w:line="240" w:lineRule="auto"/>
              <w:jc w:val="center"/>
              <w:rPr>
                <w:sz w:val="21"/>
                <w:szCs w:val="21"/>
              </w:rPr>
            </w:pPr>
            <w:r>
              <w:rPr>
                <w:sz w:val="21"/>
                <w:szCs w:val="21"/>
              </w:rPr>
              <w:t>Precedent and Constitutional Reasoning</w:t>
            </w:r>
          </w:p>
        </w:tc>
      </w:tr>
      <w:tr w:rsidR="00997B37">
        <w:tc>
          <w:tcPr>
            <w:tcW w:w="3090" w:type="dxa"/>
            <w:shd w:val="clear" w:color="auto" w:fill="C9DAF8"/>
            <w:tcMar>
              <w:top w:w="100" w:type="dxa"/>
              <w:left w:w="100" w:type="dxa"/>
              <w:bottom w:w="100" w:type="dxa"/>
              <w:right w:w="100" w:type="dxa"/>
            </w:tcMar>
          </w:tcPr>
          <w:p w:rsidR="00997B37" w:rsidRDefault="00D343DC">
            <w:pPr>
              <w:widowControl w:val="0"/>
              <w:spacing w:line="240" w:lineRule="auto"/>
              <w:rPr>
                <w:sz w:val="21"/>
                <w:szCs w:val="21"/>
              </w:rPr>
            </w:pPr>
            <w:r>
              <w:rPr>
                <w:sz w:val="21"/>
                <w:szCs w:val="21"/>
              </w:rPr>
              <w:t xml:space="preserve">Baker v. </w:t>
            </w:r>
            <w:proofErr w:type="spellStart"/>
            <w:r>
              <w:rPr>
                <w:sz w:val="21"/>
                <w:szCs w:val="21"/>
              </w:rPr>
              <w:t>Carr</w:t>
            </w:r>
            <w:proofErr w:type="spellEnd"/>
            <w:r>
              <w:rPr>
                <w:sz w:val="21"/>
                <w:szCs w:val="21"/>
              </w:rPr>
              <w:t xml:space="preserve"> (1961)</w:t>
            </w:r>
          </w:p>
        </w:tc>
        <w:tc>
          <w:tcPr>
            <w:tcW w:w="6270" w:type="dxa"/>
            <w:shd w:val="clear" w:color="auto" w:fill="C9DAF8"/>
            <w:tcMar>
              <w:top w:w="100" w:type="dxa"/>
              <w:left w:w="100" w:type="dxa"/>
              <w:bottom w:w="100" w:type="dxa"/>
              <w:right w:w="100" w:type="dxa"/>
            </w:tcMar>
          </w:tcPr>
          <w:p w:rsidR="00997B37" w:rsidRDefault="00D343DC">
            <w:pPr>
              <w:widowControl w:val="0"/>
              <w:spacing w:line="240" w:lineRule="auto"/>
              <w:rPr>
                <w:sz w:val="21"/>
                <w:szCs w:val="21"/>
              </w:rPr>
            </w:pPr>
            <w:r>
              <w:rPr>
                <w:sz w:val="21"/>
                <w:szCs w:val="21"/>
              </w:rPr>
              <w:t>Used the equal protection clause in the 14th amendment to apply to redistricting - established “one person one vote” doctrine</w:t>
            </w:r>
          </w:p>
        </w:tc>
      </w:tr>
      <w:tr w:rsidR="00997B37">
        <w:tc>
          <w:tcPr>
            <w:tcW w:w="3090" w:type="dxa"/>
            <w:shd w:val="clear" w:color="auto" w:fill="C9DAF8"/>
            <w:tcMar>
              <w:top w:w="100" w:type="dxa"/>
              <w:left w:w="100" w:type="dxa"/>
              <w:bottom w:w="100" w:type="dxa"/>
              <w:right w:w="100" w:type="dxa"/>
            </w:tcMar>
          </w:tcPr>
          <w:p w:rsidR="00997B37" w:rsidRDefault="00D343DC">
            <w:pPr>
              <w:widowControl w:val="0"/>
              <w:spacing w:line="240" w:lineRule="auto"/>
              <w:rPr>
                <w:sz w:val="21"/>
                <w:szCs w:val="21"/>
              </w:rPr>
            </w:pPr>
            <w:r>
              <w:rPr>
                <w:sz w:val="21"/>
                <w:szCs w:val="21"/>
              </w:rPr>
              <w:t>Shaw v. Reno (1993)</w:t>
            </w:r>
          </w:p>
        </w:tc>
        <w:tc>
          <w:tcPr>
            <w:tcW w:w="6270" w:type="dxa"/>
            <w:shd w:val="clear" w:color="auto" w:fill="C9DAF8"/>
            <w:tcMar>
              <w:top w:w="100" w:type="dxa"/>
              <w:left w:w="100" w:type="dxa"/>
              <w:bottom w:w="100" w:type="dxa"/>
              <w:right w:w="100" w:type="dxa"/>
            </w:tcMar>
          </w:tcPr>
          <w:p w:rsidR="00997B37" w:rsidRDefault="00D343DC">
            <w:pPr>
              <w:widowControl w:val="0"/>
              <w:spacing w:line="240" w:lineRule="auto"/>
              <w:rPr>
                <w:sz w:val="21"/>
                <w:szCs w:val="21"/>
              </w:rPr>
            </w:pPr>
            <w:r>
              <w:rPr>
                <w:sz w:val="21"/>
                <w:szCs w:val="21"/>
              </w:rPr>
              <w:t>Used equal protection clause in the 14th amendment to prohibit states from racial gerrymandering</w:t>
            </w:r>
          </w:p>
        </w:tc>
      </w:tr>
      <w:tr w:rsidR="00997B37">
        <w:tc>
          <w:tcPr>
            <w:tcW w:w="3090" w:type="dxa"/>
            <w:shd w:val="clear" w:color="auto" w:fill="C9DAF8"/>
            <w:tcMar>
              <w:top w:w="100" w:type="dxa"/>
              <w:left w:w="100" w:type="dxa"/>
              <w:bottom w:w="100" w:type="dxa"/>
              <w:right w:w="100" w:type="dxa"/>
            </w:tcMar>
          </w:tcPr>
          <w:p w:rsidR="00997B37" w:rsidRDefault="00D343DC">
            <w:pPr>
              <w:widowControl w:val="0"/>
              <w:spacing w:line="240" w:lineRule="auto"/>
              <w:rPr>
                <w:sz w:val="21"/>
                <w:szCs w:val="21"/>
              </w:rPr>
            </w:pPr>
            <w:r>
              <w:rPr>
                <w:sz w:val="21"/>
                <w:szCs w:val="21"/>
              </w:rPr>
              <w:t xml:space="preserve">Buckley v. </w:t>
            </w:r>
            <w:proofErr w:type="spellStart"/>
            <w:r>
              <w:rPr>
                <w:sz w:val="21"/>
                <w:szCs w:val="21"/>
              </w:rPr>
              <w:t>Valeo</w:t>
            </w:r>
            <w:proofErr w:type="spellEnd"/>
            <w:r>
              <w:rPr>
                <w:sz w:val="21"/>
                <w:szCs w:val="21"/>
              </w:rPr>
              <w:t xml:space="preserve"> (1976)</w:t>
            </w:r>
          </w:p>
        </w:tc>
        <w:tc>
          <w:tcPr>
            <w:tcW w:w="6270" w:type="dxa"/>
            <w:shd w:val="clear" w:color="auto" w:fill="C9DAF8"/>
            <w:tcMar>
              <w:top w:w="100" w:type="dxa"/>
              <w:left w:w="100" w:type="dxa"/>
              <w:bottom w:w="100" w:type="dxa"/>
              <w:right w:w="100" w:type="dxa"/>
            </w:tcMar>
          </w:tcPr>
          <w:p w:rsidR="00997B37" w:rsidRDefault="00D343DC">
            <w:pPr>
              <w:widowControl w:val="0"/>
              <w:spacing w:line="240" w:lineRule="auto"/>
              <w:rPr>
                <w:sz w:val="21"/>
                <w:szCs w:val="21"/>
              </w:rPr>
            </w:pPr>
            <w:r>
              <w:rPr>
                <w:sz w:val="21"/>
                <w:szCs w:val="21"/>
              </w:rPr>
              <w:t>Used the 1st amendment freedom of speech clause to rule that campaign donations were protected expression and cannot be limited by the government</w:t>
            </w:r>
          </w:p>
        </w:tc>
      </w:tr>
      <w:tr w:rsidR="00997B37">
        <w:tc>
          <w:tcPr>
            <w:tcW w:w="3090" w:type="dxa"/>
            <w:shd w:val="clear" w:color="auto" w:fill="C9DAF8"/>
            <w:tcMar>
              <w:top w:w="100" w:type="dxa"/>
              <w:left w:w="100" w:type="dxa"/>
              <w:bottom w:w="100" w:type="dxa"/>
              <w:right w:w="100" w:type="dxa"/>
            </w:tcMar>
          </w:tcPr>
          <w:p w:rsidR="00997B37" w:rsidRDefault="00D343DC">
            <w:pPr>
              <w:widowControl w:val="0"/>
              <w:spacing w:line="240" w:lineRule="auto"/>
              <w:rPr>
                <w:sz w:val="21"/>
                <w:szCs w:val="21"/>
              </w:rPr>
            </w:pPr>
            <w:r>
              <w:rPr>
                <w:sz w:val="21"/>
                <w:szCs w:val="21"/>
              </w:rPr>
              <w:t>Citizen United v. Federal Election Commission (2010)</w:t>
            </w:r>
          </w:p>
        </w:tc>
        <w:tc>
          <w:tcPr>
            <w:tcW w:w="6270" w:type="dxa"/>
            <w:shd w:val="clear" w:color="auto" w:fill="C9DAF8"/>
            <w:tcMar>
              <w:top w:w="100" w:type="dxa"/>
              <w:left w:w="100" w:type="dxa"/>
              <w:bottom w:w="100" w:type="dxa"/>
              <w:right w:w="100" w:type="dxa"/>
            </w:tcMar>
          </w:tcPr>
          <w:p w:rsidR="00997B37" w:rsidRDefault="00D343DC">
            <w:pPr>
              <w:widowControl w:val="0"/>
              <w:spacing w:line="240" w:lineRule="auto"/>
              <w:rPr>
                <w:sz w:val="21"/>
                <w:szCs w:val="21"/>
              </w:rPr>
            </w:pPr>
            <w:r>
              <w:rPr>
                <w:sz w:val="21"/>
                <w:szCs w:val="21"/>
              </w:rPr>
              <w:t>Political spending by corporations and orga</w:t>
            </w:r>
            <w:r>
              <w:rPr>
                <w:sz w:val="21"/>
                <w:szCs w:val="21"/>
              </w:rPr>
              <w:t>nizations is protected speech under the 1st amendment and cannot be limited by government</w:t>
            </w:r>
          </w:p>
        </w:tc>
      </w:tr>
    </w:tbl>
    <w:p w:rsidR="00997B37" w:rsidRDefault="00997B37">
      <w:pPr>
        <w:rPr>
          <w:sz w:val="21"/>
          <w:szCs w:val="21"/>
        </w:rPr>
      </w:pPr>
    </w:p>
    <w:sectPr w:rsidR="00997B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37"/>
    <w:rsid w:val="00997B37"/>
    <w:rsid w:val="00D3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9BA34-99AB-4574-A80B-2FA7FEFE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Darrell.Duncan</dc:creator>
  <cp:lastModifiedBy>Darrell.Duncan</cp:lastModifiedBy>
  <cp:revision>2</cp:revision>
  <dcterms:created xsi:type="dcterms:W3CDTF">2020-04-25T00:24:00Z</dcterms:created>
  <dcterms:modified xsi:type="dcterms:W3CDTF">2020-04-25T00:24:00Z</dcterms:modified>
</cp:coreProperties>
</file>