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C67D3" w:rsidRDefault="004E324D">
      <w:pPr>
        <w:jc w:val="center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b/>
          <w:noProof/>
          <w:sz w:val="36"/>
          <w:szCs w:val="36"/>
          <w:highlight w:val="cyan"/>
        </w:rPr>
        <w:drawing>
          <wp:inline distT="114300" distB="114300" distL="114300" distR="114300">
            <wp:extent cx="336947" cy="36346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947" cy="363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fortaa" w:eastAsia="Comfortaa" w:hAnsi="Comfortaa" w:cs="Comfortaa"/>
          <w:b/>
          <w:sz w:val="36"/>
          <w:szCs w:val="36"/>
          <w:highlight w:val="cyan"/>
        </w:rPr>
        <w:t>AP EURO 2020 “BACKPACK”</w:t>
      </w:r>
      <w:r>
        <w:rPr>
          <w:rFonts w:ascii="Comfortaa" w:eastAsia="Comfortaa" w:hAnsi="Comfortaa" w:cs="Comfortaa"/>
          <w:b/>
          <w:noProof/>
          <w:sz w:val="36"/>
          <w:szCs w:val="36"/>
          <w:highlight w:val="cyan"/>
        </w:rPr>
        <w:drawing>
          <wp:inline distT="114300" distB="114300" distL="114300" distR="114300">
            <wp:extent cx="336947" cy="3634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947" cy="363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67D3" w:rsidRDefault="004E324D">
      <w:pPr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This is a review chart containing all the “must know” items from the AP European History </w:t>
      </w:r>
      <w:r>
        <w:rPr>
          <w:rFonts w:ascii="Comfortaa" w:eastAsia="Comfortaa" w:hAnsi="Comfortaa" w:cs="Comfortaa"/>
          <w:b/>
          <w:sz w:val="20"/>
          <w:szCs w:val="20"/>
          <w:highlight w:val="green"/>
        </w:rPr>
        <w:t>CED (course exam description)</w:t>
      </w:r>
      <w:r>
        <w:rPr>
          <w:rFonts w:ascii="Comfortaa" w:eastAsia="Comfortaa" w:hAnsi="Comfortaa" w:cs="Comfortaa"/>
          <w:b/>
          <w:sz w:val="20"/>
          <w:szCs w:val="20"/>
        </w:rPr>
        <w:t xml:space="preserve"> that was published in Fall 2019 for the Spring 2020 exam. It does </w:t>
      </w:r>
      <w:r>
        <w:rPr>
          <w:rFonts w:ascii="Comfortaa" w:eastAsia="Comfortaa" w:hAnsi="Comfortaa" w:cs="Comfortaa"/>
          <w:b/>
          <w:sz w:val="20"/>
          <w:szCs w:val="20"/>
          <w:u w:val="single"/>
        </w:rPr>
        <w:t>not</w:t>
      </w:r>
      <w:r>
        <w:rPr>
          <w:rFonts w:ascii="Comfortaa" w:eastAsia="Comfortaa" w:hAnsi="Comfortaa" w:cs="Comfortaa"/>
          <w:b/>
          <w:sz w:val="20"/>
          <w:szCs w:val="20"/>
        </w:rPr>
        <w:t xml:space="preserve"> include illustrative examples. </w:t>
      </w:r>
    </w:p>
    <w:p w:rsidR="006C67D3" w:rsidRDefault="004E324D">
      <w:pPr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>If you know everything on this chart, you will be able to more easily:</w:t>
      </w:r>
    </w:p>
    <w:p w:rsidR="006C67D3" w:rsidRDefault="004E324D">
      <w:pPr>
        <w:numPr>
          <w:ilvl w:val="0"/>
          <w:numId w:val="1"/>
        </w:num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determine which answers are “out of time period” or “out of place” or just flat ou</w:t>
      </w:r>
      <w:r>
        <w:rPr>
          <w:rFonts w:ascii="Comfortaa" w:eastAsia="Comfortaa" w:hAnsi="Comfortaa" w:cs="Comfortaa"/>
          <w:sz w:val="20"/>
          <w:szCs w:val="20"/>
        </w:rPr>
        <w:t xml:space="preserve">t wrong on the MCQ portion of the test </w:t>
      </w:r>
      <w:r>
        <w:rPr>
          <w:rFonts w:ascii="Comfortaa" w:eastAsia="Comfortaa" w:hAnsi="Comfortaa" w:cs="Comfortaa"/>
          <w:b/>
          <w:sz w:val="20"/>
          <w:szCs w:val="20"/>
        </w:rPr>
        <w:t>(N/A now)</w:t>
      </w:r>
    </w:p>
    <w:p w:rsidR="006C67D3" w:rsidRDefault="004E324D">
      <w:pPr>
        <w:numPr>
          <w:ilvl w:val="0"/>
          <w:numId w:val="1"/>
        </w:num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answer all parts of the three SAQs </w:t>
      </w:r>
    </w:p>
    <w:p w:rsidR="006C67D3" w:rsidRDefault="004E324D">
      <w:pPr>
        <w:numPr>
          <w:ilvl w:val="0"/>
          <w:numId w:val="1"/>
        </w:numPr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provide effective contextualization and evidence for your DBQ or LEQ</w:t>
      </w:r>
    </w:p>
    <w:tbl>
      <w:tblPr>
        <w:tblStyle w:val="a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20"/>
        <w:gridCol w:w="4020"/>
        <w:gridCol w:w="402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DATES MENTIONED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PEOPLE/ORGANIZATIONS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EVENTS IN CED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highlight w:val="yellow"/>
              </w:rPr>
              <w:t xml:space="preserve">UNIT 1 </w:t>
            </w:r>
            <w:r>
              <w:rPr>
                <w:rFonts w:ascii="Comfortaa" w:eastAsia="Comfortaa" w:hAnsi="Comfortaa" w:cs="Comfortaa"/>
                <w:b/>
              </w:rPr>
              <w:t>Renaissance and Exploration c. 1450 to c. 1648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1450s invention of the printing press in Europe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Late 16th century on - Little Ice Age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Italian Renaissance humanists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ab/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Petrarch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Erasmus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Henry VIII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Elizabeth I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“The Spanish”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“The Atlantic nations of France, England, and the Netherlands”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Guilds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Revival in classical literature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Italian Renaissance 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Northern Renaissance (more religious focus and human-centered naturalism; everyday life depicted) 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Exploration and Expansion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Portugue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se and Spanish dominance in the 16th century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519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IDEAS/OTHER</w:t>
            </w:r>
          </w:p>
          <w:tbl>
            <w:tblPr>
              <w:tblStyle w:val="a0"/>
              <w:tblW w:w="1167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75"/>
              <w:gridCol w:w="6300"/>
            </w:tblGrid>
            <w:tr w:rsidR="006C67D3" w:rsidTr="009523FB">
              <w:tc>
                <w:tcPr>
                  <w:tcW w:w="53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Secularism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Individualism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Shift in education away from a primary focus on theological writings toward classical texts and new methods of scientific inquiry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“Naturalism” represented classical styles and geometric perspective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Christian humanism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Growth of vernacular literature would eventually contribute to the development of national cultures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New monarchies centralized states</w:t>
                  </w:r>
                </w:p>
                <w:p w:rsidR="006C67D3" w:rsidRDefault="004E324D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Monopolies on tax collection</w:t>
                  </w:r>
                </w:p>
                <w:p w:rsidR="006C67D3" w:rsidRDefault="004E324D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Dispensing justice</w:t>
                  </w:r>
                </w:p>
                <w:p w:rsidR="006C67D3" w:rsidRDefault="004E324D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Determining religion of their subjects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Commercial and professional groups gained in power and played a greater role in political affairs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Mercantilism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Subjugation of indigenous civilizations 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Competition in 17th and 18th centuries for trade led to conflict 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and rivalries among European powers</w:t>
                  </w:r>
                </w:p>
              </w:tc>
              <w:tc>
                <w:tcPr>
                  <w:tcW w:w="63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Columbian Exchange created economic opportunities for Europeans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Slave trade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Subjugation and destruction of </w:t>
                  </w:r>
                  <w:proofErr w:type="spellStart"/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indigeneous</w:t>
                  </w:r>
                  <w:proofErr w:type="spellEnd"/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 peoples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Plantation economy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Innovations in banking and finance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Urban financial centers and a money eco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nomy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Subsistence agriculture</w:t>
                  </w:r>
                </w:p>
                <w:p w:rsidR="006C67D3" w:rsidRDefault="004E324D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3 field crop rotation in the North</w:t>
                  </w:r>
                </w:p>
                <w:p w:rsidR="006C67D3" w:rsidRDefault="004E324D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2 field crop rotation in the Mediterranean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Price Revolution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Expansion of market economy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In 16th century, population recovery to pre- Plague level 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New economic elites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Western Europe moved towa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rd free peasantry and commercial agriculture while serfdom was codified in the East</w:t>
                  </w:r>
                </w:p>
                <w:p w:rsidR="006C67D3" w:rsidRDefault="004E324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Little Ice Age delays marriage and childbearing, restrains population growth, and eventually improves economic condition of families</w:t>
                  </w:r>
                </w:p>
              </w:tc>
            </w:tr>
          </w:tbl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1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20"/>
        <w:gridCol w:w="4020"/>
        <w:gridCol w:w="402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DATES MENTIONED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PEOPLE/ORGANIZATIONS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EVENTS IN CED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highlight w:val="yellow"/>
              </w:rPr>
              <w:t>UNIT 2</w:t>
            </w:r>
          </w:p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Age of Reformation c. 1450 to c. 1648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1648 (peace of Westphalia) marked the effective end of the medieval ideal of universal Christendom, accelerated the decline of the Holy Roman Empire by granting princes, bishops, and other local </w:t>
            </w:r>
            <w:proofErr w:type="gramStart"/>
            <w:r>
              <w:rPr>
                <w:rFonts w:ascii="Comfortaa" w:eastAsia="Comfortaa" w:hAnsi="Comfortaa" w:cs="Comfortaa"/>
              </w:rPr>
              <w:t>leaders</w:t>
            </w:r>
            <w:proofErr w:type="gramEnd"/>
            <w:r>
              <w:rPr>
                <w:rFonts w:ascii="Comfortaa" w:eastAsia="Comfortaa" w:hAnsi="Comfortaa" w:cs="Comfortaa"/>
              </w:rPr>
              <w:t xml:space="preserve"> control over religion.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1580-1650 accusations of witch</w:t>
            </w:r>
            <w:r>
              <w:rPr>
                <w:rFonts w:ascii="Comfortaa" w:eastAsia="Comfortaa" w:hAnsi="Comfortaa" w:cs="Comfortaa"/>
              </w:rPr>
              <w:t>craft peaked which reflected folk ideas and social and economic upheaval</w:t>
            </w:r>
          </w:p>
          <w:p w:rsidR="006C67D3" w:rsidRDefault="006C67D3">
            <w:pPr>
              <w:widowControl w:val="0"/>
              <w:spacing w:line="240" w:lineRule="auto"/>
              <w:ind w:left="360"/>
              <w:rPr>
                <w:rFonts w:ascii="Comfortaa" w:eastAsia="Comfortaa" w:hAnsi="Comfortaa" w:cs="Comfortaa"/>
              </w:rPr>
            </w:pP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Martin Luther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John Calvin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Anabaptists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German peasants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Habsburg rulers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Jesuit Order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Mannerist and Baroque artists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Protestant Reformation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Catholic Reformation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Edict of Nantes (1598) allows religious pluralism in order to maintain domestic peace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Council of Trent and Jesuit order revived the church but cemented division within Christianity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 w:rsidP="009523F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highlight w:val="green"/>
              </w:rPr>
            </w:pPr>
            <w:r>
              <w:rPr>
                <w:rFonts w:ascii="Comfortaa" w:eastAsia="Comfortaa" w:hAnsi="Comfortaa" w:cs="Comfortaa"/>
                <w:highlight w:val="green"/>
              </w:rPr>
              <w:t>IDEAS/OTHER</w:t>
            </w:r>
          </w:p>
          <w:tbl>
            <w:tblPr>
              <w:tblStyle w:val="a2"/>
              <w:tblW w:w="1005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95"/>
              <w:gridCol w:w="4860"/>
            </w:tblGrid>
            <w:tr w:rsidR="006C67D3" w:rsidTr="009523FB">
              <w:tc>
                <w:tcPr>
                  <w:tcW w:w="51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Use of printing press to disseminate ideas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Calvin and Anabaptists refuse to recognize the subordination of the church to the secular state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Commercial and agricultural capitalism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Expansion of cities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 xml:space="preserve">Political centralization 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Concept of a sovereign state and secular systems of law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Some protestant groups sanctioned the notion that wealth accumulation was a sign of God’s favor and a reward for hard work (leads to Protestant work ethic)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City governments left with the task of regul</w:t>
                  </w:r>
                  <w:r>
                    <w:rPr>
                      <w:rFonts w:ascii="Comfortaa" w:eastAsia="Comfortaa" w:hAnsi="Comfortaa" w:cs="Comfortaa"/>
                    </w:rPr>
                    <w:t>ating public morals</w:t>
                  </w:r>
                </w:p>
              </w:tc>
              <w:tc>
                <w:tcPr>
                  <w:tcW w:w="4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Renaissance and Reformation raised debates about female education and women’s roles in the family, church and society (“</w:t>
                  </w:r>
                  <w:proofErr w:type="spellStart"/>
                  <w:r>
                    <w:rPr>
                      <w:rFonts w:ascii="Comfortaa" w:eastAsia="Comfortaa" w:hAnsi="Comfortaa" w:cs="Comfortaa"/>
                    </w:rPr>
                    <w:t>Querelle</w:t>
                  </w:r>
                  <w:proofErr w:type="spellEnd"/>
                  <w:r>
                    <w:rPr>
                      <w:rFonts w:ascii="Comfortaa" w:eastAsia="Comfortaa" w:hAnsi="Comfortaa" w:cs="Comfortaa"/>
                    </w:rPr>
                    <w:t xml:space="preserve"> des Femmes”)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Baroque and Mannerist art employed distortion, drama, and illusion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 xml:space="preserve">Public humiliation rituals </w:t>
                  </w:r>
                  <w:r>
                    <w:rPr>
                      <w:rFonts w:ascii="Comfortaa" w:eastAsia="Comfortaa" w:hAnsi="Comfortaa" w:cs="Comfortaa"/>
                    </w:rPr>
                    <w:t>continue to be used by local and church authorities in order to enforce communal norms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 xml:space="preserve">Monarchies, city-states, and the church commissioned Baroque </w:t>
                  </w:r>
                  <w:proofErr w:type="gramStart"/>
                  <w:r>
                    <w:rPr>
                      <w:rFonts w:ascii="Comfortaa" w:eastAsia="Comfortaa" w:hAnsi="Comfortaa" w:cs="Comfortaa"/>
                    </w:rPr>
                    <w:t>and  Mannerist</w:t>
                  </w:r>
                  <w:proofErr w:type="gramEnd"/>
                  <w:r>
                    <w:rPr>
                      <w:rFonts w:ascii="Comfortaa" w:eastAsia="Comfortaa" w:hAnsi="Comfortaa" w:cs="Comfortaa"/>
                    </w:rPr>
                    <w:t xml:space="preserve"> art to promote their own stature and power</w:t>
                  </w:r>
                </w:p>
              </w:tc>
            </w:tr>
          </w:tbl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3"/>
        <w:tblW w:w="15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180"/>
        <w:gridCol w:w="3020"/>
        <w:gridCol w:w="584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DATES MENTIONED IN CED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PEOPLE/ORGANIZATIONS IN CED</w:t>
            </w:r>
          </w:p>
        </w:tc>
        <w:tc>
          <w:tcPr>
            <w:tcW w:w="5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EVENTS IN CED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highlight w:val="yellow"/>
              </w:rPr>
              <w:t xml:space="preserve">UNIT 3 </w:t>
            </w:r>
            <w:r>
              <w:rPr>
                <w:rFonts w:ascii="Comfortaa" w:eastAsia="Comfortaa" w:hAnsi="Comfortaa" w:cs="Comfortaa"/>
                <w:b/>
              </w:rPr>
              <w:t>Absolutism and Constitutionalism c. 1648 to c. 1815</w:t>
            </w:r>
          </w:p>
        </w:tc>
        <w:tc>
          <w:tcPr>
            <w:tcW w:w="31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After 1648, dynastic and state interests, along with Europe’s expanding colonial empires, influenced the diplomacy of European states and frequently led to war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1683-Battle of Vienna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17th and 18th centuries- transatlantic slave-labor system expanded/absolut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e monarchy was established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In much of Europe, absolute monarchy was established over the course of the 17th and 18th centuries. </w:t>
            </w:r>
          </w:p>
        </w:tc>
        <w:tc>
          <w:tcPr>
            <w:tcW w:w="3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Louis XIV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Jean Baptiste-Colbert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Peter the Great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Catherine the Great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Gentry</w:t>
            </w:r>
          </w:p>
        </w:tc>
        <w:tc>
          <w:tcPr>
            <w:tcW w:w="5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The English Civil War - a conflict among the monarch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y, Parliament, and other elites over their respective roles in the political structure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The Glorious Revolution </w:t>
            </w:r>
            <w:proofErr w:type="gramStart"/>
            <w:r>
              <w:rPr>
                <w:rFonts w:ascii="Comfortaa" w:eastAsia="Comfortaa" w:hAnsi="Comfortaa" w:cs="Comfortaa"/>
                <w:sz w:val="20"/>
                <w:szCs w:val="20"/>
              </w:rPr>
              <w:t>-  protected</w:t>
            </w:r>
            <w:proofErr w:type="gramEnd"/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the rights of gentry and aristocracy from absolutism through assertions of the rights of Parliament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Agricultural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Population increase due to new crops from Americas (Columbian Exchange)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Transatlantic slave-lab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or system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The Dutch Republic and Golden Age - established by a Protestant revolt against the Habsburg monarchy, developed an oligarchy of urban gentry and rural landholders to promote trade and protect traditional rights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Partition of Poland by Russia, Prus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sia and Austria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Austrian defeat of Turks (1683) causes cessation of Ottoman expansion West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Wars of Louis XIV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5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 w:rsidP="009523F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  <w:highlight w:val="green"/>
              </w:rPr>
              <w:t>IDEAS/OTHER</w:t>
            </w:r>
          </w:p>
          <w:tbl>
            <w:tblPr>
              <w:tblStyle w:val="a4"/>
              <w:tblW w:w="1104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5"/>
              <w:gridCol w:w="5940"/>
            </w:tblGrid>
            <w:tr w:rsidR="006C67D3" w:rsidTr="00CF4483">
              <w:tc>
                <w:tcPr>
                  <w:tcW w:w="51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Political centralization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Absolute Monarchies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Constitutional Monarchies (protected the rights of gentry and aristocracy from absolutism through assertions of the rights of Parliament)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Nobles versus Monarchies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New concept of sovereign state and secular systems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Economic Development and Mercantilism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Development of market economy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New financial practices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The putting-out system, or cottage industry, expanded as increasing numbers of laborers in homes or workshops pro</w:t>
                  </w: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duced for markets through merchant intermediaries or workshop owners</w:t>
                  </w:r>
                </w:p>
              </w:tc>
              <w:tc>
                <w:tcPr>
                  <w:tcW w:w="59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Consumer culture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Decline of Religion in importance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Balance of Power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Advances in military technology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French expansion of administrative, financial, military, and religious control of the c</w:t>
                  </w: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 xml:space="preserve">entral state and French population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Peter the Great’s “Westernization” of the Russian State and Society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 xml:space="preserve">Peter the Great and Catherine the </w:t>
                  </w:r>
                  <w:proofErr w:type="gramStart"/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great  modernization</w:t>
                  </w:r>
                  <w:proofErr w:type="gramEnd"/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Political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Cultural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5"/>
                    </w:numPr>
                    <w:spacing w:line="240" w:lineRule="auto"/>
                    <w:ind w:left="432" w:hanging="432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Religious</w:t>
                  </w:r>
                </w:p>
              </w:tc>
            </w:tr>
          </w:tbl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  <w:highlight w:val="green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5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2760"/>
        <w:gridCol w:w="3180"/>
        <w:gridCol w:w="612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DATES MENTIONED IN CED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PEOPLE/ORGANIZATIONS IN CED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EVENTS IN CED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highlight w:val="yellow"/>
              </w:rPr>
              <w:t>UNIT 4</w:t>
            </w:r>
          </w:p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Scientific, Philosophical, and Political Developments c. 1648 to c. 1815</w:t>
            </w:r>
          </w:p>
        </w:tc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1750 - Baroque art and music, which promoted religious feeling and employed by monarchs to illustrate state power, is replaced with neoclassicism </w:t>
            </w:r>
          </w:p>
        </w:tc>
        <w:tc>
          <w:tcPr>
            <w:tcW w:w="31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Copernicus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Galileo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Newton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William Harvey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Galen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Francis Bacon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René Descartes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Voltaire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Diderot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John Locke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Rousseau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Adam Smith</w:t>
            </w:r>
          </w:p>
        </w:tc>
        <w:tc>
          <w:tcPr>
            <w:tcW w:w="6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Scientific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 Enlightenment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Application of the principles of the Scientific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New political and </w:t>
            </w:r>
            <w:proofErr w:type="spellStart"/>
            <w:r>
              <w:rPr>
                <w:rFonts w:ascii="Comfortaa" w:eastAsia="Comfortaa" w:hAnsi="Comfortaa" w:cs="Comfortaa"/>
              </w:rPr>
              <w:t>economical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ideas/views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Population Growth due to agricultural productivity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Development of public opinion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Agricultural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Commercial revolution 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 Consumer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Prussia’s rise to power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Rise of urbanization </w:t>
            </w:r>
          </w:p>
          <w:p w:rsidR="006C67D3" w:rsidRDefault="006C67D3">
            <w:pPr>
              <w:widowControl w:val="0"/>
              <w:spacing w:line="240" w:lineRule="auto"/>
              <w:ind w:left="360"/>
              <w:rPr>
                <w:rFonts w:ascii="Comfortaa" w:eastAsia="Comfortaa" w:hAnsi="Comfortaa" w:cs="Comfortaa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1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6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highlight w:val="green"/>
              </w:rPr>
              <w:t>IDEAS/OTHER</w:t>
            </w:r>
          </w:p>
          <w:tbl>
            <w:tblPr>
              <w:tblStyle w:val="a6"/>
              <w:tblW w:w="103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25"/>
              <w:gridCol w:w="5000"/>
            </w:tblGrid>
            <w:tr w:rsidR="006C67D3" w:rsidTr="009523FB">
              <w:tc>
                <w:tcPr>
                  <w:tcW w:w="53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Scientific Revolution as “new renaissance”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Enlightenment thought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1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Empiricism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1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Skepticism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1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Human reason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1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Rationalism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Alchemy and astrology continued in limited popularity among elites and lower classes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Natural Rights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Social Contract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Exclusion of women from politics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Individuals are driven by self-interest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Deism, skepticism and atheism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End of plague and increas</w:t>
                  </w:r>
                  <w:r>
                    <w:rPr>
                      <w:rFonts w:ascii="Comfortaa" w:eastAsia="Comfortaa" w:hAnsi="Comfortaa" w:cs="Comfortaa"/>
                    </w:rPr>
                    <w:t>e of inoculation</w:t>
                  </w:r>
                </w:p>
              </w:tc>
              <w:tc>
                <w:tcPr>
                  <w:tcW w:w="50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Population increase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Marriages happened later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Movement from rural to urban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Increase importance placed on idea of “childhood” and more attention given to children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Urbanization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1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Poverty, crime, prostitution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Increase in literacy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Baroque replaced by neoclassicism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More emphasis placed on privacy and leisure activities outside the home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Enlightened absolutism</w:t>
                  </w:r>
                </w:p>
                <w:p w:rsidR="006C67D3" w:rsidRDefault="004E324D" w:rsidP="009523FB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Some tolerance towards Jews</w:t>
                  </w:r>
                </w:p>
              </w:tc>
            </w:tr>
          </w:tbl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highlight w:val="green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7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20"/>
        <w:gridCol w:w="4020"/>
        <w:gridCol w:w="402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DATES MENTIONED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PEOPLE/ORGANIZATIONS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EVENTS IN CED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highlight w:val="yellow"/>
              </w:rPr>
              <w:t xml:space="preserve">UNIT 5 </w:t>
            </w:r>
            <w:r>
              <w:rPr>
                <w:rFonts w:ascii="Comfortaa" w:eastAsia="Comfortaa" w:hAnsi="Comfortaa" w:cs="Comfortaa"/>
                <w:b/>
              </w:rPr>
              <w:t>Conflict, Crisis, and Reaction in the Late 18th Century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1804 French colony of Saint-Domingue became the independent nation of Haiti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1815 Congress of Vienna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Napoleon Bonaparte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Louis XVI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Jacobin republic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Robespierre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Toussaint </w:t>
            </w:r>
            <w:proofErr w:type="spellStart"/>
            <w:r>
              <w:rPr>
                <w:rFonts w:ascii="Comfortaa" w:eastAsia="Comfortaa" w:hAnsi="Comfortaa" w:cs="Comfortaa"/>
              </w:rPr>
              <w:t>L’Ouverture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Rousseau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John Wesley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French Revolution</w:t>
            </w:r>
          </w:p>
          <w:p w:rsidR="006C67D3" w:rsidRDefault="004E324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Constitutional monarchy</w:t>
            </w:r>
          </w:p>
          <w:p w:rsidR="006C67D3" w:rsidRDefault="004E324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Increased popular participation</w:t>
            </w:r>
          </w:p>
          <w:p w:rsidR="006C67D3" w:rsidRDefault="004E324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Nationalization of Catholic Church</w:t>
            </w:r>
          </w:p>
          <w:p w:rsidR="006C67D3" w:rsidRDefault="004E324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Abolition of hereditary privileges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Reign of Terror</w:t>
            </w:r>
          </w:p>
          <w:p w:rsidR="006C67D3" w:rsidRDefault="004E324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Prices and wages fixed</w:t>
            </w:r>
          </w:p>
          <w:p w:rsidR="006C67D3" w:rsidRDefault="004E324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Policy of de-Christianization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5835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highlight w:val="green"/>
              </w:rPr>
              <w:t>IDEAS/OTHER</w:t>
            </w:r>
          </w:p>
          <w:tbl>
            <w:tblPr>
              <w:tblStyle w:val="a8"/>
              <w:tblW w:w="1140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15"/>
              <w:gridCol w:w="5490"/>
            </w:tblGrid>
            <w:tr w:rsidR="006C67D3" w:rsidTr="009523FB">
              <w:tc>
                <w:tcPr>
                  <w:tcW w:w="5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French Revolution provoked nationalistic response in Prussia and Spain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Acceleration of worldwide economic network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 xml:space="preserve">Scientific Revolution and Enlightenment lead to increased emphasis on reason 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Portuguese, Dutch, French, and British rivalries in Asia culmina</w:t>
                  </w: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ted in British domination in India and Dutch control of the East Indies.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Britain supplanted France as the greatest European power.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 xml:space="preserve">Mass politics and nationalism 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Mass conscription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Women enthusiastically participated in the early phases of the revolution; however, while there were brief improvements in the legal status of women, citizenship in the republic was soon restricted to men.</w:t>
                  </w:r>
                </w:p>
              </w:tc>
              <w:tc>
                <w:tcPr>
                  <w:tcW w:w="5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 xml:space="preserve">As first consul and emperor, Napoleon undertook a </w:t>
                  </w: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number of enduring domestic reforms while often curtailing some rights and manipulating popular impulses behind a façade of representative institutions.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Napoleon’s new military tactics allowed him to exert direct or indirect control over much of the Europe</w:t>
                  </w: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an continent, spreading the ideals of the French Revolution across Europe.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Romanticism emerged as a challenge to Enlightenment rationality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>Religious revival</w:t>
                  </w:r>
                </w:p>
                <w:p w:rsidR="006C67D3" w:rsidRPr="009523FB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  <w:r w:rsidRPr="009523FB"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  <w:t xml:space="preserve">Methodism </w:t>
                  </w:r>
                </w:p>
                <w:p w:rsidR="006C67D3" w:rsidRPr="009523FB" w:rsidRDefault="006C67D3" w:rsidP="00CF4483">
                  <w:pPr>
                    <w:widowControl w:val="0"/>
                    <w:spacing w:line="240" w:lineRule="auto"/>
                    <w:ind w:left="288" w:hanging="288"/>
                    <w:rPr>
                      <w:rFonts w:ascii="Times New Roman" w:eastAsia="Comforta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highlight w:val="green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9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20"/>
        <w:gridCol w:w="4020"/>
        <w:gridCol w:w="402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  <w:t>DATES MENTIONED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  <w:t>PEOPLE/ORGANIZATIONS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  <w:t>EVENTS IN CED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yellow"/>
              </w:rPr>
              <w:t>UNIT 6</w:t>
            </w:r>
          </w:p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Industrialization and Its Effects c. 1815 – c. 1914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1914 - by this date Mechanization and the factory system became the predominant modes of </w:t>
            </w:r>
            <w:proofErr w:type="gramStart"/>
            <w:r>
              <w:rPr>
                <w:rFonts w:ascii="Comfortaa" w:eastAsia="Comfortaa" w:hAnsi="Comfortaa" w:cs="Comfortaa"/>
                <w:sz w:val="18"/>
                <w:szCs w:val="18"/>
              </w:rPr>
              <w:t>production .</w:t>
            </w:r>
            <w:proofErr w:type="gramEnd"/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1870–1914 Second industrial revolution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Revolutions of 1848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Russian Revolution of 1905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Metternich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Bour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geois and working-class families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Human capital (engineers, inventors, and capitalists)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Proletariat vs. bourgeoisie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Philanthropic, political, and social associations among the middle classes,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Mutual aid societies and trade unions among the working class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>es.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Industrial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Second Industrial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Industrialization in Prussia under state sponsorship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Congress of Vienna creates Concert of Europe to maintain conservative order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Emancipation of serfs in Russia</w:t>
            </w:r>
          </w:p>
          <w:p w:rsidR="006C67D3" w:rsidRDefault="006C67D3">
            <w:pPr>
              <w:widowControl w:val="0"/>
              <w:spacing w:line="240" w:lineRule="auto"/>
              <w:ind w:left="360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  <w:t>IDEAS/OTHER</w:t>
            </w:r>
          </w:p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</w:pPr>
          </w:p>
          <w:tbl>
            <w:tblPr>
              <w:tblStyle w:val="aa"/>
              <w:tblW w:w="1167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735"/>
              <w:gridCol w:w="5940"/>
            </w:tblGrid>
            <w:tr w:rsidR="006C67D3" w:rsidTr="009523FB">
              <w:tc>
                <w:tcPr>
                  <w:tcW w:w="5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Development of new classes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Rapid population growth and urbanization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Changes in family structure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Britain’s ready supplies of coal, iron ore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State sponsorship of industrialization </w:t>
                  </w:r>
                  <w:proofErr w:type="gramStart"/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because </w:t>
                  </w:r>
                  <w:r w:rsidR="009523FB"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commercial</w:t>
                  </w:r>
                  <w:proofErr w:type="gramEnd"/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 interests had more of an influence in gov’t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Great Britain established industrial dominance through the mechanization of textile production, iron and steel production, and new transportation systems France industrialized more gradually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New tech, communication, and transportation cause a more fully in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tegrated national economies and global economic network.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Eastern and southern Europe’s lag in industrial development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geography, lack of resources, the dominance of traditional landed elites, the persistence of serfdom in some areas, and inadequate governme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nt sponsorship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Political movements and social organizations responded to problems of industrialization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Mass-based political parties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Labor unions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Feminists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Movements to end serfdom and slavery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Reformers promote compulsory public education</w:t>
                  </w:r>
                </w:p>
              </w:tc>
              <w:tc>
                <w:tcPr>
                  <w:tcW w:w="59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Increased consumer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Volatile business cycles led corporations and governments to try to manage the market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monopolies, banking practices, and tariffs.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commercialization of agriculture, industrialization promoted population growth, longer life expectancy, and lowered infan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t mortality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Industrialization and mass marketing increased both the production and demand for a new range of consumer goods— clothing, processed foods, and labor-saving devices—and created more leisure opportunities.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Class identity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Cult of domesticity in b</w:t>
                  </w: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ourgeois families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Social welfare, labor protection, improved diet and birth control increase quality of life for working class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Ideologies of Change and Reform movements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Liberals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2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Shift from laissez-faire to interventionist economic and social policies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Radicals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Socialists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 xml:space="preserve">Marx’s scientific socialism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Anarchism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Reforms: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7"/>
                    </w:numPr>
                    <w:spacing w:line="240" w:lineRule="auto"/>
                    <w:ind w:left="288" w:hanging="288"/>
                    <w:rPr>
                      <w:rFonts w:ascii="Comfortaa" w:eastAsia="Comfortaa" w:hAnsi="Comfortaa" w:cs="Comfortaa"/>
                      <w:sz w:val="18"/>
                      <w:szCs w:val="18"/>
                    </w:rPr>
                  </w:pPr>
                  <w:r>
                    <w:rPr>
                      <w:rFonts w:ascii="Comfortaa" w:eastAsia="Comfortaa" w:hAnsi="Comfortaa" w:cs="Comfortaa"/>
                      <w:sz w:val="18"/>
                      <w:szCs w:val="18"/>
                    </w:rPr>
                    <w:t>modernize infrastructure, regulate public health, reform prisons, and establish modern police forces.</w:t>
                  </w:r>
                </w:p>
              </w:tc>
            </w:tr>
          </w:tbl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8"/>
                <w:szCs w:val="18"/>
                <w:highlight w:val="green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p w:rsidR="009523FB" w:rsidRDefault="009523FB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b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060"/>
        <w:gridCol w:w="4020"/>
        <w:gridCol w:w="498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DATES MENTIONED IN CED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PEOPLE/ORGANIZATIONS IN CED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EVENTS IN CED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yellow"/>
              </w:rPr>
              <w:t xml:space="preserve">UNIT 7 </w:t>
            </w:r>
          </w:p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19th-Century Perspectives and Political Developments c. 1815 to c. 1914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1848 Revolutions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1871 Unification of Germany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1890 Dismissal of Bismarck </w:t>
            </w: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Napoleon III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Cavour 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Bismarck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Garibaldi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Charles Darwin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Sigmund Freud</w:t>
            </w:r>
          </w:p>
          <w:p w:rsidR="006C67D3" w:rsidRDefault="004E324D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Freudian psychology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proofErr w:type="gramStart"/>
            <w:r>
              <w:rPr>
                <w:rFonts w:ascii="Comfortaa" w:eastAsia="Comfortaa" w:hAnsi="Comfortaa" w:cs="Comfortaa"/>
              </w:rPr>
              <w:t>Albert  Einstein</w:t>
            </w:r>
            <w:proofErr w:type="gramEnd"/>
          </w:p>
          <w:p w:rsidR="006C67D3" w:rsidRDefault="004E324D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Theory of relativity</w:t>
            </w:r>
          </w:p>
        </w:tc>
        <w:tc>
          <w:tcPr>
            <w:tcW w:w="4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Revolutions of 1848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Unification of Italy 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Unification of Germany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Second Industrial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Breakdown of Concert of Europe due to Crimean War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Creation of dual monarchy of Austria-Hungary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Crimean War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Tensions in Balka</w:t>
            </w:r>
            <w:r>
              <w:rPr>
                <w:rFonts w:ascii="Comfortaa" w:eastAsia="Comfortaa" w:hAnsi="Comfortaa" w:cs="Comfortaa"/>
              </w:rPr>
              <w:t>ns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highlight w:val="green"/>
              </w:rPr>
            </w:pPr>
            <w:r>
              <w:rPr>
                <w:rFonts w:ascii="Comfortaa" w:eastAsia="Comfortaa" w:hAnsi="Comfortaa" w:cs="Comfortaa"/>
                <w:highlight w:val="green"/>
              </w:rPr>
              <w:t>IDEAS/OTHER</w:t>
            </w:r>
          </w:p>
          <w:tbl>
            <w:tblPr>
              <w:tblStyle w:val="ac"/>
              <w:tblW w:w="1113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35"/>
              <w:gridCol w:w="7200"/>
            </w:tblGrid>
            <w:tr w:rsidR="006C67D3" w:rsidTr="00CF4483">
              <w:tc>
                <w:tcPr>
                  <w:tcW w:w="3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 xml:space="preserve">Nationalism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Liberal Reform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Realpolitik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Realism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anti-Semitism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 xml:space="preserve">Chauvinism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Zionism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Social Darwinism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Positivism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Modernism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Movement away from rational interpretations of nature and human society to an emphasis on irrationality and impulse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Quantum mechanics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Movement away from Newtonian physics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Advances in medicine enabled European survival in Africa and Asia</w:t>
                  </w:r>
                </w:p>
              </w:tc>
              <w:tc>
                <w:tcPr>
                  <w:tcW w:w="7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White Man’s Burden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Imperialism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Nationalist movements as a response to Imperialism (revolt or modernize - sometimes both)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Romanticism broke with Neoclassical and focused on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Nature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Individuality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Intuition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Supernatural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 xml:space="preserve">National histories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Modern Art moved from objective to subj</w:t>
                  </w:r>
                  <w:r>
                    <w:rPr>
                      <w:rFonts w:ascii="Comfortaa" w:eastAsia="Comfortaa" w:hAnsi="Comfortaa" w:cs="Comfortaa"/>
                    </w:rPr>
                    <w:t>ective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Impressionism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 xml:space="preserve">Post-impressionism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</w:rPr>
                  </w:pPr>
                  <w:r>
                    <w:rPr>
                      <w:rFonts w:ascii="Comfortaa" w:eastAsia="Comfortaa" w:hAnsi="Comfortaa" w:cs="Comfortaa"/>
                    </w:rPr>
                    <w:t>Cubism</w:t>
                  </w:r>
                </w:p>
              </w:tc>
            </w:tr>
          </w:tbl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highlight w:val="green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d"/>
        <w:tblW w:w="15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400"/>
        <w:gridCol w:w="3120"/>
        <w:gridCol w:w="552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lastRenderedPageBreak/>
              <w:t>UNIT in CED</w:t>
            </w:r>
          </w:p>
        </w:tc>
        <w:tc>
          <w:tcPr>
            <w:tcW w:w="3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DATES MENTIONED IN CED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PEOPLE/ORGANIZATIONS IN CED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EVENTS IN CED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4E324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yellow"/>
              </w:rPr>
              <w:t xml:space="preserve">UNIT 8 </w:t>
            </w: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20th-Century Global Conflicts c. 1914 to present</w:t>
            </w:r>
          </w:p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1929 stock market crash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1936-mid 1970s - authoritarian rule in Spain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Marxist-Leninists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Vladimir Lenin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Bolsheviks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Woodrow Wilson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Mussolini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Hitler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Franco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Stalin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Winston Churchill</w:t>
            </w:r>
          </w:p>
          <w:p w:rsidR="006C67D3" w:rsidRDefault="004E324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Roma</w:t>
            </w:r>
          </w:p>
        </w:tc>
        <w:tc>
          <w:tcPr>
            <w:tcW w:w="5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WWI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Russian Revolution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League of Nations</w:t>
            </w:r>
          </w:p>
          <w:p w:rsidR="006C67D3" w:rsidRDefault="004E324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Transfer of former German and Ottoman possessions to France and GB through the mandate system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Versailles settlement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The Great Depression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Weimar Republic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WWII</w:t>
            </w:r>
          </w:p>
          <w:p w:rsidR="006C67D3" w:rsidRDefault="004E32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Cold War</w:t>
            </w: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4E32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  <w:t>IDEAS/OTHER</w:t>
            </w:r>
          </w:p>
          <w:tbl>
            <w:tblPr>
              <w:tblStyle w:val="ae"/>
              <w:tblW w:w="690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15"/>
              <w:gridCol w:w="4590"/>
            </w:tblGrid>
            <w:tr w:rsidR="006C67D3" w:rsidTr="00CF4483">
              <w:tc>
                <w:tcPr>
                  <w:tcW w:w="2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Total War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NEP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Wilsonian idealism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“Lost Generation”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Fascism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 xml:space="preserve">Extreme Nationalism </w:t>
                  </w:r>
                </w:p>
              </w:tc>
              <w:tc>
                <w:tcPr>
                  <w:tcW w:w="4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 xml:space="preserve">American isolationism 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Appeasement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Blitzkrieg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Genocide</w:t>
                  </w:r>
                </w:p>
                <w:p w:rsidR="006C67D3" w:rsidRDefault="004E324D" w:rsidP="00CF4483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left="360"/>
                    <w:rPr>
                      <w:rFonts w:ascii="Comfortaa" w:eastAsia="Comfortaa" w:hAnsi="Comfortaa" w:cs="Comfortaa"/>
                      <w:sz w:val="20"/>
                      <w:szCs w:val="20"/>
                    </w:rPr>
                  </w:pPr>
                  <w:r>
                    <w:rPr>
                      <w:rFonts w:ascii="Comfortaa" w:eastAsia="Comfortaa" w:hAnsi="Comfortaa" w:cs="Comfortaa"/>
                      <w:sz w:val="20"/>
                      <w:szCs w:val="20"/>
                    </w:rPr>
                    <w:t>Holocaust</w:t>
                  </w:r>
                </w:p>
              </w:tc>
            </w:tr>
          </w:tbl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tbl>
      <w:tblPr>
        <w:tblStyle w:val="af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20"/>
        <w:gridCol w:w="4020"/>
        <w:gridCol w:w="4020"/>
      </w:tblGrid>
      <w:tr w:rsidR="006C67D3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6C67D3">
        <w:trPr>
          <w:trHeight w:val="40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7D3" w:rsidRDefault="006C67D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2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7D3" w:rsidRDefault="006C67D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0"/>
                <w:szCs w:val="20"/>
                <w:highlight w:val="green"/>
              </w:rPr>
            </w:pPr>
          </w:p>
        </w:tc>
      </w:tr>
    </w:tbl>
    <w:p w:rsidR="006C67D3" w:rsidRDefault="006C67D3">
      <w:pPr>
        <w:rPr>
          <w:rFonts w:ascii="Comfortaa" w:eastAsia="Comfortaa" w:hAnsi="Comfortaa" w:cs="Comfortaa"/>
          <w:sz w:val="24"/>
          <w:szCs w:val="24"/>
        </w:rPr>
      </w:pPr>
    </w:p>
    <w:p w:rsidR="006C67D3" w:rsidRDefault="006C67D3">
      <w:pPr>
        <w:rPr>
          <w:rFonts w:ascii="Comfortaa" w:eastAsia="Comfortaa" w:hAnsi="Comfortaa" w:cs="Comfortaa"/>
          <w:sz w:val="20"/>
          <w:szCs w:val="20"/>
        </w:rPr>
      </w:pPr>
    </w:p>
    <w:p w:rsidR="006C67D3" w:rsidRDefault="006C67D3">
      <w:pPr>
        <w:rPr>
          <w:rFonts w:ascii="Comfortaa" w:eastAsia="Comfortaa" w:hAnsi="Comfortaa" w:cs="Comfortaa"/>
          <w:b/>
          <w:sz w:val="48"/>
          <w:szCs w:val="48"/>
          <w:highlight w:val="cyan"/>
        </w:rPr>
      </w:pPr>
    </w:p>
    <w:sectPr w:rsidR="006C67D3">
      <w:footerReference w:type="default" r:id="rId8"/>
      <w:footerReference w:type="first" r:id="rId9"/>
      <w:pgSz w:w="15840" w:h="122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24D" w:rsidRDefault="004E324D">
      <w:pPr>
        <w:spacing w:line="240" w:lineRule="auto"/>
      </w:pPr>
      <w:r>
        <w:separator/>
      </w:r>
    </w:p>
  </w:endnote>
  <w:endnote w:type="continuationSeparator" w:id="0">
    <w:p w:rsidR="004E324D" w:rsidRDefault="004E3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7D3" w:rsidRDefault="004E324D">
    <w:pPr>
      <w:jc w:val="right"/>
    </w:pPr>
    <w:r>
      <w:rPr>
        <w:rFonts w:ascii="Comfortaa" w:eastAsia="Comfortaa" w:hAnsi="Comfortaa" w:cs="Comfortaa"/>
        <w:sz w:val="20"/>
        <w:szCs w:val="20"/>
      </w:rPr>
      <w:fldChar w:fldCharType="begin"/>
    </w:r>
    <w:r>
      <w:rPr>
        <w:rFonts w:ascii="Comfortaa" w:eastAsia="Comfortaa" w:hAnsi="Comfortaa" w:cs="Comfortaa"/>
        <w:sz w:val="20"/>
        <w:szCs w:val="20"/>
      </w:rPr>
      <w:instrText>PAGE</w:instrText>
    </w:r>
    <w:r w:rsidR="009523FB">
      <w:rPr>
        <w:rFonts w:ascii="Comfortaa" w:eastAsia="Comfortaa" w:hAnsi="Comfortaa" w:cs="Comfortaa"/>
        <w:sz w:val="20"/>
        <w:szCs w:val="20"/>
      </w:rPr>
      <w:fldChar w:fldCharType="separate"/>
    </w:r>
    <w:r w:rsidR="009523FB">
      <w:rPr>
        <w:rFonts w:ascii="Comfortaa" w:eastAsia="Comfortaa" w:hAnsi="Comfortaa" w:cs="Comfortaa"/>
        <w:noProof/>
        <w:sz w:val="20"/>
        <w:szCs w:val="20"/>
      </w:rPr>
      <w:t>2</w:t>
    </w:r>
    <w:r>
      <w:rPr>
        <w:rFonts w:ascii="Comfortaa" w:eastAsia="Comfortaa" w:hAnsi="Comfortaa" w:cs="Comforta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7D3" w:rsidRDefault="004E324D">
    <w:pPr>
      <w:jc w:val="right"/>
    </w:pPr>
    <w:r>
      <w:fldChar w:fldCharType="begin"/>
    </w:r>
    <w:r>
      <w:instrText>PAGE</w:instrText>
    </w:r>
    <w:r w:rsidR="009523FB">
      <w:fldChar w:fldCharType="separate"/>
    </w:r>
    <w:r w:rsidR="009523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24D" w:rsidRDefault="004E324D">
      <w:pPr>
        <w:spacing w:line="240" w:lineRule="auto"/>
      </w:pPr>
      <w:r>
        <w:separator/>
      </w:r>
    </w:p>
  </w:footnote>
  <w:footnote w:type="continuationSeparator" w:id="0">
    <w:p w:rsidR="004E324D" w:rsidRDefault="004E3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5103"/>
    <w:multiLevelType w:val="multilevel"/>
    <w:tmpl w:val="45949A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5F5E58"/>
    <w:multiLevelType w:val="multilevel"/>
    <w:tmpl w:val="1EB69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F87BDA"/>
    <w:multiLevelType w:val="multilevel"/>
    <w:tmpl w:val="67E8B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E747D3"/>
    <w:multiLevelType w:val="multilevel"/>
    <w:tmpl w:val="49522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9B166F"/>
    <w:multiLevelType w:val="multilevel"/>
    <w:tmpl w:val="CE46E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063E0A"/>
    <w:multiLevelType w:val="multilevel"/>
    <w:tmpl w:val="ADE01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2A4BCF"/>
    <w:multiLevelType w:val="multilevel"/>
    <w:tmpl w:val="F35CC3A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CB53B4"/>
    <w:multiLevelType w:val="multilevel"/>
    <w:tmpl w:val="B1942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EF1942"/>
    <w:multiLevelType w:val="multilevel"/>
    <w:tmpl w:val="44886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FE6CD7"/>
    <w:multiLevelType w:val="multilevel"/>
    <w:tmpl w:val="6D9EE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D3"/>
    <w:rsid w:val="004E324D"/>
    <w:rsid w:val="006C67D3"/>
    <w:rsid w:val="009523FB"/>
    <w:rsid w:val="00C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A06D"/>
  <w15:docId w15:val="{4E457395-7875-4E23-A8E4-480A581B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Darrell.Duncan</dc:creator>
  <cp:lastModifiedBy>Darrell.Duncan</cp:lastModifiedBy>
  <cp:revision>2</cp:revision>
  <dcterms:created xsi:type="dcterms:W3CDTF">2020-04-29T19:28:00Z</dcterms:created>
  <dcterms:modified xsi:type="dcterms:W3CDTF">2020-04-29T19:28:00Z</dcterms:modified>
</cp:coreProperties>
</file>